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EED" w:rsidRPr="00772A54" w:rsidRDefault="009C0EED" w:rsidP="00772A54">
      <w:pPr>
        <w:jc w:val="center"/>
        <w:rPr>
          <w:b/>
          <w:bCs/>
          <w:sz w:val="24"/>
          <w:szCs w:val="24"/>
        </w:rPr>
      </w:pPr>
      <w:r>
        <w:rPr>
          <w:b/>
          <w:bCs/>
          <w:sz w:val="24"/>
          <w:szCs w:val="24"/>
        </w:rPr>
        <w:t xml:space="preserve">WRAP </w:t>
      </w:r>
      <w:r w:rsidRPr="00A678AE">
        <w:rPr>
          <w:b/>
          <w:bCs/>
          <w:sz w:val="24"/>
          <w:szCs w:val="24"/>
        </w:rPr>
        <w:t>RHPWG EI a</w:t>
      </w:r>
      <w:r>
        <w:rPr>
          <w:b/>
          <w:bCs/>
          <w:sz w:val="24"/>
          <w:szCs w:val="24"/>
        </w:rPr>
        <w:t xml:space="preserve">nd Modeling Committee Meeting </w:t>
      </w:r>
      <w:r w:rsidR="00181734">
        <w:rPr>
          <w:b/>
          <w:bCs/>
          <w:sz w:val="24"/>
          <w:szCs w:val="24"/>
        </w:rPr>
        <w:t>6</w:t>
      </w:r>
      <w:r>
        <w:rPr>
          <w:b/>
          <w:bCs/>
          <w:sz w:val="24"/>
          <w:szCs w:val="24"/>
        </w:rPr>
        <w:t>/2</w:t>
      </w:r>
      <w:r w:rsidR="00181734">
        <w:rPr>
          <w:b/>
          <w:bCs/>
          <w:sz w:val="24"/>
          <w:szCs w:val="24"/>
        </w:rPr>
        <w:t>5</w:t>
      </w:r>
      <w:r w:rsidRPr="00A678AE">
        <w:rPr>
          <w:b/>
          <w:bCs/>
          <w:sz w:val="24"/>
          <w:szCs w:val="24"/>
        </w:rPr>
        <w:t>/2020</w:t>
      </w:r>
    </w:p>
    <w:p w:rsidR="009C0EED" w:rsidRDefault="009C0EED" w:rsidP="009C0EED">
      <w:pPr>
        <w:rPr>
          <w:b/>
          <w:bCs/>
          <w:sz w:val="24"/>
          <w:szCs w:val="24"/>
          <w:u w:val="single"/>
        </w:rPr>
      </w:pPr>
      <w:r>
        <w:rPr>
          <w:b/>
          <w:bCs/>
          <w:sz w:val="24"/>
          <w:szCs w:val="24"/>
          <w:u w:val="single"/>
        </w:rPr>
        <w:t xml:space="preserve">Agenda w/Notes: </w:t>
      </w:r>
    </w:p>
    <w:p w:rsidR="00516407" w:rsidRDefault="009C0EED" w:rsidP="009C0EED">
      <w:pPr>
        <w:rPr>
          <w:sz w:val="24"/>
          <w:szCs w:val="24"/>
        </w:rPr>
      </w:pPr>
      <w:r>
        <w:rPr>
          <w:sz w:val="24"/>
          <w:szCs w:val="24"/>
        </w:rPr>
        <w:t>Note taker for this call: New Mexico -NMED AQB; meeting was recorded. Please refer to recording for more in-depth detail for discussions.</w:t>
      </w:r>
    </w:p>
    <w:p w:rsidR="00516407" w:rsidRDefault="00516407" w:rsidP="00516407">
      <w:pPr>
        <w:spacing w:line="240" w:lineRule="auto"/>
        <w:contextualSpacing/>
        <w:rPr>
          <w:sz w:val="24"/>
          <w:szCs w:val="24"/>
        </w:rPr>
      </w:pPr>
      <w:r>
        <w:rPr>
          <w:sz w:val="24"/>
          <w:szCs w:val="24"/>
        </w:rPr>
        <w:t>Roll Call:</w:t>
      </w:r>
    </w:p>
    <w:p w:rsidR="00516407" w:rsidRPr="00516407" w:rsidRDefault="00516407" w:rsidP="00516407">
      <w:pPr>
        <w:spacing w:line="240" w:lineRule="auto"/>
        <w:contextualSpacing/>
        <w:rPr>
          <w:sz w:val="24"/>
          <w:szCs w:val="24"/>
        </w:rPr>
      </w:pPr>
      <w:r w:rsidRPr="00516407">
        <w:rPr>
          <w:sz w:val="24"/>
          <w:szCs w:val="24"/>
        </w:rPr>
        <w:t>Alaska - Yes</w:t>
      </w:r>
    </w:p>
    <w:p w:rsidR="00516407" w:rsidRPr="00516407" w:rsidRDefault="00516407" w:rsidP="00516407">
      <w:pPr>
        <w:spacing w:line="240" w:lineRule="auto"/>
        <w:contextualSpacing/>
        <w:rPr>
          <w:sz w:val="24"/>
          <w:szCs w:val="24"/>
        </w:rPr>
      </w:pPr>
      <w:r w:rsidRPr="00516407">
        <w:rPr>
          <w:sz w:val="24"/>
          <w:szCs w:val="24"/>
        </w:rPr>
        <w:t xml:space="preserve">Arizona - Yes and Pima </w:t>
      </w:r>
      <w:proofErr w:type="spellStart"/>
      <w:r w:rsidRPr="00516407">
        <w:rPr>
          <w:sz w:val="24"/>
          <w:szCs w:val="24"/>
        </w:rPr>
        <w:t>Cnty</w:t>
      </w:r>
      <w:proofErr w:type="spellEnd"/>
    </w:p>
    <w:p w:rsidR="00516407" w:rsidRPr="00516407" w:rsidRDefault="00516407" w:rsidP="00516407">
      <w:pPr>
        <w:spacing w:line="240" w:lineRule="auto"/>
        <w:contextualSpacing/>
        <w:rPr>
          <w:sz w:val="24"/>
          <w:szCs w:val="24"/>
        </w:rPr>
      </w:pPr>
      <w:r w:rsidRPr="00516407">
        <w:rPr>
          <w:sz w:val="24"/>
          <w:szCs w:val="24"/>
        </w:rPr>
        <w:t>California - Yes</w:t>
      </w:r>
    </w:p>
    <w:p w:rsidR="00516407" w:rsidRPr="00516407" w:rsidRDefault="00516407" w:rsidP="00516407">
      <w:pPr>
        <w:spacing w:line="240" w:lineRule="auto"/>
        <w:contextualSpacing/>
        <w:rPr>
          <w:sz w:val="24"/>
          <w:szCs w:val="24"/>
        </w:rPr>
      </w:pPr>
      <w:r w:rsidRPr="00516407">
        <w:rPr>
          <w:sz w:val="24"/>
          <w:szCs w:val="24"/>
        </w:rPr>
        <w:t>Colorado - Yes</w:t>
      </w:r>
    </w:p>
    <w:p w:rsidR="00516407" w:rsidRPr="00516407" w:rsidRDefault="00516407" w:rsidP="00516407">
      <w:pPr>
        <w:spacing w:line="240" w:lineRule="auto"/>
        <w:contextualSpacing/>
        <w:rPr>
          <w:sz w:val="24"/>
          <w:szCs w:val="24"/>
        </w:rPr>
      </w:pPr>
      <w:r w:rsidRPr="00516407">
        <w:rPr>
          <w:sz w:val="24"/>
          <w:szCs w:val="24"/>
        </w:rPr>
        <w:t>Hawaii - Yes</w:t>
      </w:r>
    </w:p>
    <w:p w:rsidR="00516407" w:rsidRPr="00516407" w:rsidRDefault="00516407" w:rsidP="00516407">
      <w:pPr>
        <w:spacing w:line="240" w:lineRule="auto"/>
        <w:contextualSpacing/>
        <w:rPr>
          <w:sz w:val="24"/>
          <w:szCs w:val="24"/>
        </w:rPr>
      </w:pPr>
      <w:r w:rsidRPr="00516407">
        <w:rPr>
          <w:sz w:val="24"/>
          <w:szCs w:val="24"/>
        </w:rPr>
        <w:t>Idaho - Yes</w:t>
      </w:r>
    </w:p>
    <w:p w:rsidR="00516407" w:rsidRPr="00516407" w:rsidRDefault="00516407" w:rsidP="00516407">
      <w:pPr>
        <w:spacing w:line="240" w:lineRule="auto"/>
        <w:contextualSpacing/>
        <w:rPr>
          <w:sz w:val="24"/>
          <w:szCs w:val="24"/>
        </w:rPr>
      </w:pPr>
      <w:r w:rsidRPr="00516407">
        <w:rPr>
          <w:sz w:val="24"/>
          <w:szCs w:val="24"/>
        </w:rPr>
        <w:t>Montana - Yes</w:t>
      </w:r>
    </w:p>
    <w:p w:rsidR="00516407" w:rsidRPr="00516407" w:rsidRDefault="00516407" w:rsidP="00516407">
      <w:pPr>
        <w:spacing w:line="240" w:lineRule="auto"/>
        <w:contextualSpacing/>
        <w:rPr>
          <w:sz w:val="24"/>
          <w:szCs w:val="24"/>
        </w:rPr>
      </w:pPr>
      <w:r w:rsidRPr="00516407">
        <w:rPr>
          <w:sz w:val="24"/>
          <w:szCs w:val="24"/>
        </w:rPr>
        <w:t>New Mexico - Yes</w:t>
      </w:r>
    </w:p>
    <w:p w:rsidR="00516407" w:rsidRPr="00516407" w:rsidRDefault="00516407" w:rsidP="00516407">
      <w:pPr>
        <w:spacing w:line="240" w:lineRule="auto"/>
        <w:contextualSpacing/>
        <w:rPr>
          <w:sz w:val="24"/>
          <w:szCs w:val="24"/>
        </w:rPr>
      </w:pPr>
      <w:r w:rsidRPr="00516407">
        <w:rPr>
          <w:sz w:val="24"/>
          <w:szCs w:val="24"/>
        </w:rPr>
        <w:t>Nevada - Yes</w:t>
      </w:r>
    </w:p>
    <w:p w:rsidR="00516407" w:rsidRPr="00516407" w:rsidRDefault="00516407" w:rsidP="00516407">
      <w:pPr>
        <w:spacing w:line="240" w:lineRule="auto"/>
        <w:contextualSpacing/>
        <w:rPr>
          <w:sz w:val="24"/>
          <w:szCs w:val="24"/>
        </w:rPr>
      </w:pPr>
      <w:r w:rsidRPr="00516407">
        <w:rPr>
          <w:sz w:val="24"/>
          <w:szCs w:val="24"/>
        </w:rPr>
        <w:t>North Dakota - Yes</w:t>
      </w:r>
    </w:p>
    <w:p w:rsidR="00516407" w:rsidRPr="00516407" w:rsidRDefault="00516407" w:rsidP="00516407">
      <w:pPr>
        <w:spacing w:line="240" w:lineRule="auto"/>
        <w:contextualSpacing/>
        <w:rPr>
          <w:sz w:val="24"/>
          <w:szCs w:val="24"/>
        </w:rPr>
      </w:pPr>
      <w:r w:rsidRPr="00516407">
        <w:rPr>
          <w:sz w:val="24"/>
          <w:szCs w:val="24"/>
        </w:rPr>
        <w:t>Oregon - Yes</w:t>
      </w:r>
    </w:p>
    <w:p w:rsidR="00516407" w:rsidRPr="00516407" w:rsidRDefault="00516407" w:rsidP="00516407">
      <w:pPr>
        <w:spacing w:line="240" w:lineRule="auto"/>
        <w:contextualSpacing/>
        <w:rPr>
          <w:sz w:val="24"/>
          <w:szCs w:val="24"/>
        </w:rPr>
      </w:pPr>
      <w:r w:rsidRPr="00516407">
        <w:rPr>
          <w:sz w:val="24"/>
          <w:szCs w:val="24"/>
        </w:rPr>
        <w:t>Utah - Yes</w:t>
      </w:r>
    </w:p>
    <w:p w:rsidR="00516407" w:rsidRPr="00516407" w:rsidRDefault="00516407" w:rsidP="00516407">
      <w:pPr>
        <w:spacing w:line="240" w:lineRule="auto"/>
        <w:contextualSpacing/>
        <w:rPr>
          <w:sz w:val="24"/>
          <w:szCs w:val="24"/>
        </w:rPr>
      </w:pPr>
      <w:r>
        <w:rPr>
          <w:sz w:val="24"/>
          <w:szCs w:val="24"/>
        </w:rPr>
        <w:t>Washington - Yes</w:t>
      </w:r>
    </w:p>
    <w:p w:rsidR="00516407" w:rsidRPr="00516407" w:rsidRDefault="00516407" w:rsidP="00516407">
      <w:pPr>
        <w:spacing w:line="240" w:lineRule="auto"/>
        <w:contextualSpacing/>
        <w:rPr>
          <w:sz w:val="24"/>
          <w:szCs w:val="24"/>
        </w:rPr>
      </w:pPr>
      <w:proofErr w:type="spellStart"/>
      <w:r>
        <w:rPr>
          <w:sz w:val="24"/>
          <w:szCs w:val="24"/>
        </w:rPr>
        <w:t>Ramboll</w:t>
      </w:r>
      <w:proofErr w:type="spellEnd"/>
      <w:r>
        <w:rPr>
          <w:sz w:val="24"/>
          <w:szCs w:val="24"/>
        </w:rPr>
        <w:t xml:space="preserve"> - Tejas/Ralph</w:t>
      </w:r>
    </w:p>
    <w:p w:rsidR="00516407" w:rsidRDefault="00516407" w:rsidP="00516407">
      <w:pPr>
        <w:spacing w:line="240" w:lineRule="auto"/>
        <w:contextualSpacing/>
        <w:rPr>
          <w:sz w:val="24"/>
          <w:szCs w:val="24"/>
        </w:rPr>
      </w:pPr>
      <w:r w:rsidRPr="00516407">
        <w:rPr>
          <w:sz w:val="24"/>
          <w:szCs w:val="24"/>
        </w:rPr>
        <w:t>WRAP - Tom</w:t>
      </w:r>
    </w:p>
    <w:p w:rsidR="00516407" w:rsidRDefault="00516407" w:rsidP="00516407">
      <w:pPr>
        <w:spacing w:after="0" w:line="240" w:lineRule="auto"/>
        <w:ind w:left="360"/>
        <w:rPr>
          <w:rFonts w:eastAsia="Times New Roman"/>
        </w:rPr>
      </w:pPr>
    </w:p>
    <w:p w:rsidR="009C0EED" w:rsidRDefault="009C0EED" w:rsidP="009C0EED">
      <w:pPr>
        <w:numPr>
          <w:ilvl w:val="0"/>
          <w:numId w:val="4"/>
        </w:numPr>
        <w:spacing w:after="0" w:line="240" w:lineRule="auto"/>
        <w:rPr>
          <w:rFonts w:eastAsia="Times New Roman"/>
        </w:rPr>
      </w:pPr>
      <w:r>
        <w:rPr>
          <w:rFonts w:eastAsia="Times New Roman"/>
        </w:rPr>
        <w:t>*since the time of this call it was determined that 2028 OTB/OTW modeling would need to be redone so the schedule of things has changes substantially.</w:t>
      </w:r>
      <w:r w:rsidR="00772A54">
        <w:rPr>
          <w:rFonts w:eastAsia="Times New Roman"/>
        </w:rPr>
        <w:t xml:space="preserve">  This wil</w:t>
      </w:r>
      <w:bookmarkStart w:id="0" w:name="_GoBack"/>
      <w:bookmarkEnd w:id="0"/>
      <w:r w:rsidR="00772A54">
        <w:rPr>
          <w:rFonts w:eastAsia="Times New Roman"/>
        </w:rPr>
        <w:t>l be discussed on the July 30, 2020 call.</w:t>
      </w:r>
    </w:p>
    <w:p w:rsidR="009C0EED" w:rsidRDefault="009C0EED" w:rsidP="009C0EED">
      <w:pPr>
        <w:spacing w:after="0" w:line="240" w:lineRule="auto"/>
        <w:ind w:left="360"/>
        <w:rPr>
          <w:rFonts w:eastAsia="Times New Roman"/>
        </w:rPr>
      </w:pPr>
    </w:p>
    <w:p w:rsidR="009C0EED" w:rsidRPr="00772A54" w:rsidRDefault="009C0EED" w:rsidP="00772A54">
      <w:pPr>
        <w:numPr>
          <w:ilvl w:val="0"/>
          <w:numId w:val="4"/>
        </w:numPr>
        <w:spacing w:after="0" w:line="240" w:lineRule="auto"/>
        <w:rPr>
          <w:rFonts w:eastAsia="Times New Roman"/>
        </w:rPr>
      </w:pPr>
      <w:r>
        <w:rPr>
          <w:rFonts w:eastAsia="Times New Roman"/>
        </w:rPr>
        <w:t xml:space="preserve">2014 and 2017 NEI summary review. Discuss format for TSS and need for corresponding model summaries and/or Representative Baseline emissions, to align with </w:t>
      </w:r>
      <w:hyperlink r:id="rId5" w:tgtFrame="_blank" w:history="1">
        <w:r>
          <w:rPr>
            <w:rStyle w:val="Hyperlink"/>
            <w:rFonts w:eastAsia="Times New Roman"/>
            <w:color w:val="2970CC"/>
          </w:rPr>
          <w:t>EPA July 2017 emissions inventory guidance for implementation of Ozone and Particulate Matter National Ambient Air Quality Standards (NAAQS) and Regional Haze Regulations</w:t>
        </w:r>
      </w:hyperlink>
    </w:p>
    <w:p w:rsidR="00772A54" w:rsidRDefault="009C0EED" w:rsidP="00772A54">
      <w:pPr>
        <w:numPr>
          <w:ilvl w:val="1"/>
          <w:numId w:val="4"/>
        </w:numPr>
        <w:rPr>
          <w:rFonts w:eastAsia="Times New Roman"/>
        </w:rPr>
      </w:pPr>
      <w:r>
        <w:rPr>
          <w:rFonts w:eastAsia="Times New Roman"/>
        </w:rPr>
        <w:t xml:space="preserve">Tina: 2014 -2017 NEI summaries – you are including the most recent NEI? Tom: We are going to talk about that next. The long and short of it is that we want to be able to display the 2014 NEI (with state updates) and have the 2017 NEI as a reference. We want to have an overall reference there (on the TSS). </w:t>
      </w:r>
    </w:p>
    <w:p w:rsidR="00772A54" w:rsidRPr="00A91FFD" w:rsidRDefault="00772A54" w:rsidP="00E10E28">
      <w:pPr>
        <w:numPr>
          <w:ilvl w:val="1"/>
          <w:numId w:val="4"/>
        </w:numPr>
        <w:spacing w:after="0" w:line="240" w:lineRule="auto"/>
        <w:rPr>
          <w:rFonts w:eastAsia="Times New Roman"/>
          <w:i/>
          <w:iCs/>
        </w:rPr>
      </w:pPr>
      <w:r w:rsidRPr="00A91FFD">
        <w:rPr>
          <w:rFonts w:eastAsia="Times New Roman"/>
          <w:i/>
          <w:iCs/>
        </w:rPr>
        <w:t>Idea is to include NEI as a reference so we have the sector summaries. Look at the summary spreadsheets from EPA internally with WRAP.</w:t>
      </w:r>
    </w:p>
    <w:p w:rsidR="00772A54" w:rsidRPr="00B97231" w:rsidRDefault="00772A54" w:rsidP="00772A54">
      <w:pPr>
        <w:numPr>
          <w:ilvl w:val="1"/>
          <w:numId w:val="4"/>
        </w:numPr>
        <w:spacing w:after="0" w:line="240" w:lineRule="auto"/>
        <w:rPr>
          <w:rFonts w:eastAsia="Times New Roman"/>
          <w:i/>
          <w:iCs/>
        </w:rPr>
      </w:pPr>
      <w:r w:rsidRPr="00B97231">
        <w:rPr>
          <w:rFonts w:eastAsia="Times New Roman"/>
          <w:i/>
          <w:iCs/>
        </w:rPr>
        <w:t xml:space="preserve">Wildfire, prescribed fire lumped together in NATA. IF want to see that on the TSS would have </w:t>
      </w:r>
      <w:proofErr w:type="gramStart"/>
      <w:r w:rsidRPr="00B97231">
        <w:rPr>
          <w:rFonts w:eastAsia="Times New Roman"/>
          <w:i/>
          <w:iCs/>
        </w:rPr>
        <w:t>to</w:t>
      </w:r>
      <w:proofErr w:type="gramEnd"/>
      <w:r w:rsidRPr="00B97231">
        <w:rPr>
          <w:rFonts w:eastAsia="Times New Roman"/>
          <w:i/>
          <w:iCs/>
        </w:rPr>
        <w:t xml:space="preserve"> separate that out.</w:t>
      </w:r>
    </w:p>
    <w:p w:rsidR="00772A54" w:rsidRDefault="00772A54" w:rsidP="00772A54">
      <w:pPr>
        <w:numPr>
          <w:ilvl w:val="1"/>
          <w:numId w:val="4"/>
        </w:numPr>
        <w:spacing w:after="0" w:line="240" w:lineRule="auto"/>
        <w:rPr>
          <w:rFonts w:eastAsia="Times New Roman"/>
        </w:rPr>
      </w:pPr>
      <w:r>
        <w:rPr>
          <w:rFonts w:eastAsia="Times New Roman"/>
        </w:rPr>
        <w:t>TSS state level.  These sheets have country level for the TSS.</w:t>
      </w:r>
    </w:p>
    <w:p w:rsidR="00772A54" w:rsidRDefault="00772A54" w:rsidP="00772A54">
      <w:pPr>
        <w:numPr>
          <w:ilvl w:val="2"/>
          <w:numId w:val="4"/>
        </w:numPr>
        <w:spacing w:after="0" w:line="240" w:lineRule="auto"/>
        <w:rPr>
          <w:rFonts w:eastAsia="Times New Roman"/>
        </w:rPr>
      </w:pPr>
      <w:r>
        <w:rPr>
          <w:rFonts w:eastAsia="Times New Roman"/>
        </w:rPr>
        <w:t xml:space="preserve">Mark </w:t>
      </w:r>
      <w:proofErr w:type="spellStart"/>
      <w:r>
        <w:rPr>
          <w:rFonts w:eastAsia="Times New Roman"/>
        </w:rPr>
        <w:t>Hyquoiu</w:t>
      </w:r>
      <w:proofErr w:type="spellEnd"/>
      <w:r>
        <w:rPr>
          <w:rFonts w:eastAsia="Times New Roman"/>
        </w:rPr>
        <w:t>, EPA. Discussed what we need to think about.</w:t>
      </w:r>
    </w:p>
    <w:p w:rsidR="00772A54" w:rsidRDefault="00772A54" w:rsidP="00772A54">
      <w:pPr>
        <w:numPr>
          <w:ilvl w:val="2"/>
          <w:numId w:val="4"/>
        </w:numPr>
        <w:spacing w:after="0" w:line="240" w:lineRule="auto"/>
        <w:rPr>
          <w:rFonts w:eastAsia="Times New Roman"/>
        </w:rPr>
      </w:pPr>
      <w:r>
        <w:rPr>
          <w:rFonts w:eastAsia="Times New Roman"/>
        </w:rPr>
        <w:t>Spread sheets are an attempt to provide these sources for each state to be in compliance with this guidance.</w:t>
      </w:r>
    </w:p>
    <w:p w:rsidR="00772A54" w:rsidRDefault="00772A54" w:rsidP="00772A54">
      <w:pPr>
        <w:numPr>
          <w:ilvl w:val="2"/>
          <w:numId w:val="4"/>
        </w:numPr>
        <w:spacing w:after="0" w:line="240" w:lineRule="auto"/>
        <w:rPr>
          <w:rFonts w:eastAsia="Times New Roman"/>
        </w:rPr>
      </w:pPr>
      <w:r>
        <w:rPr>
          <w:rFonts w:eastAsia="Times New Roman"/>
        </w:rPr>
        <w:t>Ryan (AZ) no issue with being public or on the TSS.</w:t>
      </w:r>
    </w:p>
    <w:p w:rsidR="00772A54" w:rsidRDefault="00772A54" w:rsidP="00772A54">
      <w:pPr>
        <w:numPr>
          <w:ilvl w:val="3"/>
          <w:numId w:val="4"/>
        </w:numPr>
        <w:spacing w:after="0" w:line="240" w:lineRule="auto"/>
        <w:rPr>
          <w:rFonts w:eastAsia="Times New Roman"/>
        </w:rPr>
      </w:pPr>
      <w:r>
        <w:rPr>
          <w:rFonts w:eastAsia="Times New Roman"/>
        </w:rPr>
        <w:t>Summaries at the state level. County level.</w:t>
      </w:r>
    </w:p>
    <w:p w:rsidR="00772A54" w:rsidRDefault="00772A54" w:rsidP="00772A54">
      <w:pPr>
        <w:numPr>
          <w:ilvl w:val="2"/>
          <w:numId w:val="4"/>
        </w:numPr>
        <w:spacing w:after="0" w:line="240" w:lineRule="auto"/>
        <w:rPr>
          <w:rFonts w:eastAsia="Times New Roman"/>
        </w:rPr>
      </w:pPr>
      <w:r>
        <w:rPr>
          <w:rFonts w:eastAsia="Times New Roman"/>
        </w:rPr>
        <w:lastRenderedPageBreak/>
        <w:t xml:space="preserve">David Stroh. No issue with posting </w:t>
      </w:r>
      <w:r w:rsidR="00A91FFD">
        <w:rPr>
          <w:rFonts w:eastAsia="Times New Roman"/>
        </w:rPr>
        <w:t>s.</w:t>
      </w:r>
    </w:p>
    <w:p w:rsidR="00772A54" w:rsidRDefault="00772A54" w:rsidP="00772A54">
      <w:pPr>
        <w:numPr>
          <w:ilvl w:val="3"/>
          <w:numId w:val="4"/>
        </w:numPr>
        <w:spacing w:after="0" w:line="240" w:lineRule="auto"/>
        <w:rPr>
          <w:rFonts w:eastAsia="Times New Roman"/>
        </w:rPr>
      </w:pPr>
      <w:r>
        <w:rPr>
          <w:rFonts w:eastAsia="Times New Roman"/>
        </w:rPr>
        <w:t xml:space="preserve">2014 and 2017 NEI data </w:t>
      </w:r>
    </w:p>
    <w:p w:rsidR="00772A54" w:rsidRDefault="00772A54" w:rsidP="00772A54">
      <w:pPr>
        <w:numPr>
          <w:ilvl w:val="3"/>
          <w:numId w:val="4"/>
        </w:numPr>
        <w:spacing w:after="0" w:line="240" w:lineRule="auto"/>
        <w:rPr>
          <w:rFonts w:eastAsia="Times New Roman"/>
        </w:rPr>
      </w:pPr>
      <w:r>
        <w:rPr>
          <w:rFonts w:eastAsia="Times New Roman"/>
        </w:rPr>
        <w:t>Country level.</w:t>
      </w:r>
    </w:p>
    <w:p w:rsidR="00772A54" w:rsidRDefault="00772A54" w:rsidP="00772A54">
      <w:pPr>
        <w:numPr>
          <w:ilvl w:val="3"/>
          <w:numId w:val="4"/>
        </w:numPr>
        <w:spacing w:after="0" w:line="240" w:lineRule="auto"/>
        <w:rPr>
          <w:rFonts w:eastAsia="Times New Roman"/>
        </w:rPr>
      </w:pPr>
      <w:r>
        <w:rPr>
          <w:rFonts w:eastAsia="Times New Roman"/>
        </w:rPr>
        <w:t>TSS EI tool side by side ’14, ’17, representative baseline.</w:t>
      </w:r>
    </w:p>
    <w:p w:rsidR="00772A54" w:rsidRDefault="00772A54" w:rsidP="00772A54">
      <w:pPr>
        <w:numPr>
          <w:ilvl w:val="2"/>
          <w:numId w:val="4"/>
        </w:numPr>
        <w:spacing w:after="0" w:line="240" w:lineRule="auto"/>
        <w:rPr>
          <w:rFonts w:eastAsia="Times New Roman"/>
        </w:rPr>
      </w:pPr>
      <w:r>
        <w:rPr>
          <w:rFonts w:eastAsia="Times New Roman"/>
        </w:rPr>
        <w:t>Mark Jones (NM)</w:t>
      </w:r>
    </w:p>
    <w:p w:rsidR="00772A54" w:rsidRDefault="00772A54" w:rsidP="00772A54">
      <w:pPr>
        <w:numPr>
          <w:ilvl w:val="3"/>
          <w:numId w:val="4"/>
        </w:numPr>
        <w:spacing w:after="0" w:line="240" w:lineRule="auto"/>
        <w:rPr>
          <w:rFonts w:eastAsia="Times New Roman"/>
        </w:rPr>
      </w:pPr>
      <w:r>
        <w:rPr>
          <w:rFonts w:eastAsia="Times New Roman"/>
        </w:rPr>
        <w:t>NM – comparison table.</w:t>
      </w:r>
    </w:p>
    <w:p w:rsidR="00772A54" w:rsidRDefault="00772A54" w:rsidP="00772A54">
      <w:pPr>
        <w:numPr>
          <w:ilvl w:val="2"/>
          <w:numId w:val="4"/>
        </w:numPr>
        <w:spacing w:after="0" w:line="240" w:lineRule="auto"/>
        <w:rPr>
          <w:rFonts w:eastAsia="Times New Roman"/>
        </w:rPr>
      </w:pPr>
      <w:r>
        <w:rPr>
          <w:rFonts w:eastAsia="Times New Roman"/>
        </w:rPr>
        <w:t xml:space="preserve">Tejas,  </w:t>
      </w:r>
    </w:p>
    <w:p w:rsidR="00772A54" w:rsidRDefault="00772A54" w:rsidP="00772A54">
      <w:pPr>
        <w:numPr>
          <w:ilvl w:val="3"/>
          <w:numId w:val="4"/>
        </w:numPr>
        <w:spacing w:after="0" w:line="240" w:lineRule="auto"/>
        <w:rPr>
          <w:rFonts w:eastAsia="Times New Roman"/>
        </w:rPr>
      </w:pPr>
      <w:r>
        <w:rPr>
          <w:rFonts w:eastAsia="Times New Roman"/>
        </w:rPr>
        <w:t>Summaries – created from the gridded output or not.</w:t>
      </w:r>
    </w:p>
    <w:p w:rsidR="00772A54" w:rsidRDefault="00772A54" w:rsidP="00772A54">
      <w:pPr>
        <w:numPr>
          <w:ilvl w:val="3"/>
          <w:numId w:val="4"/>
        </w:numPr>
        <w:spacing w:after="0" w:line="240" w:lineRule="auto"/>
        <w:rPr>
          <w:rFonts w:eastAsia="Times New Roman"/>
        </w:rPr>
      </w:pPr>
      <w:r>
        <w:rPr>
          <w:rFonts w:eastAsia="Times New Roman"/>
        </w:rPr>
        <w:t xml:space="preserve">On-road- actual emissions by the state </w:t>
      </w:r>
    </w:p>
    <w:p w:rsidR="00772A54" w:rsidRDefault="00772A54" w:rsidP="00772A54">
      <w:pPr>
        <w:numPr>
          <w:ilvl w:val="3"/>
          <w:numId w:val="4"/>
        </w:numPr>
        <w:spacing w:after="0" w:line="240" w:lineRule="auto"/>
        <w:rPr>
          <w:rFonts w:eastAsia="Times New Roman"/>
        </w:rPr>
      </w:pPr>
      <w:r>
        <w:rPr>
          <w:rFonts w:eastAsia="Times New Roman"/>
        </w:rPr>
        <w:t>On-road mobile – get the gridded emissions for the modeling</w:t>
      </w:r>
    </w:p>
    <w:p w:rsidR="00772A54" w:rsidRDefault="00772A54" w:rsidP="00772A54">
      <w:pPr>
        <w:numPr>
          <w:ilvl w:val="3"/>
          <w:numId w:val="4"/>
        </w:numPr>
        <w:spacing w:after="0" w:line="240" w:lineRule="auto"/>
        <w:rPr>
          <w:rFonts w:eastAsia="Times New Roman"/>
        </w:rPr>
      </w:pPr>
      <w:r>
        <w:rPr>
          <w:rFonts w:eastAsia="Times New Roman"/>
        </w:rPr>
        <w:t>State level summaries.</w:t>
      </w:r>
    </w:p>
    <w:p w:rsidR="00772A54" w:rsidRDefault="00772A54" w:rsidP="00772A54">
      <w:pPr>
        <w:numPr>
          <w:ilvl w:val="3"/>
          <w:numId w:val="4"/>
        </w:numPr>
        <w:spacing w:after="0" w:line="240" w:lineRule="auto"/>
        <w:rPr>
          <w:rFonts w:eastAsia="Times New Roman"/>
        </w:rPr>
      </w:pPr>
      <w:r>
        <w:rPr>
          <w:rFonts w:eastAsia="Times New Roman"/>
        </w:rPr>
        <w:t>Emissions file per facility for the 3 scenarios and compare to 2017 NEI and 2017 NEIV2.</w:t>
      </w:r>
    </w:p>
    <w:p w:rsidR="00772A54" w:rsidRDefault="00772A54" w:rsidP="00772A54">
      <w:pPr>
        <w:numPr>
          <w:ilvl w:val="2"/>
          <w:numId w:val="4"/>
        </w:numPr>
        <w:spacing w:after="0" w:line="240" w:lineRule="auto"/>
        <w:rPr>
          <w:rFonts w:eastAsia="Times New Roman"/>
        </w:rPr>
      </w:pPr>
      <w:r>
        <w:rPr>
          <w:rFonts w:eastAsia="Times New Roman"/>
        </w:rPr>
        <w:t>Inventory level summaries even though mobile is done differently.</w:t>
      </w:r>
    </w:p>
    <w:p w:rsidR="00772A54" w:rsidRDefault="00772A54" w:rsidP="00772A54">
      <w:pPr>
        <w:numPr>
          <w:ilvl w:val="3"/>
          <w:numId w:val="4"/>
        </w:numPr>
        <w:spacing w:after="0" w:line="240" w:lineRule="auto"/>
        <w:rPr>
          <w:rFonts w:eastAsia="Times New Roman"/>
        </w:rPr>
      </w:pPr>
      <w:r>
        <w:rPr>
          <w:rFonts w:eastAsia="Times New Roman"/>
        </w:rPr>
        <w:t>2017 NEI data fit in the TSS. State responsibility to discuss difference</w:t>
      </w:r>
      <w:r w:rsidR="00A91FFD">
        <w:rPr>
          <w:rFonts w:eastAsia="Times New Roman"/>
        </w:rPr>
        <w:t>s.</w:t>
      </w:r>
    </w:p>
    <w:p w:rsidR="00772A54" w:rsidRDefault="00772A54" w:rsidP="00772A54">
      <w:pPr>
        <w:numPr>
          <w:ilvl w:val="3"/>
          <w:numId w:val="4"/>
        </w:numPr>
        <w:spacing w:after="0" w:line="240" w:lineRule="auto"/>
        <w:rPr>
          <w:rFonts w:eastAsia="Times New Roman"/>
        </w:rPr>
      </w:pPr>
      <w:r>
        <w:rPr>
          <w:rFonts w:eastAsia="Times New Roman"/>
        </w:rPr>
        <w:t xml:space="preserve">Defense of representative 2014 baseline emissions </w:t>
      </w:r>
    </w:p>
    <w:p w:rsidR="00772A54" w:rsidRDefault="00772A54" w:rsidP="00772A54">
      <w:pPr>
        <w:numPr>
          <w:ilvl w:val="2"/>
          <w:numId w:val="4"/>
        </w:numPr>
        <w:spacing w:after="0" w:line="240" w:lineRule="auto"/>
        <w:rPr>
          <w:rFonts w:eastAsia="Times New Roman"/>
        </w:rPr>
      </w:pPr>
      <w:r>
        <w:rPr>
          <w:rFonts w:eastAsia="Times New Roman"/>
        </w:rPr>
        <w:t>Rhonda – emissions on TSS are the gridded emissions.</w:t>
      </w:r>
    </w:p>
    <w:p w:rsidR="00772A54" w:rsidRDefault="00772A54" w:rsidP="00772A54">
      <w:pPr>
        <w:numPr>
          <w:ilvl w:val="3"/>
          <w:numId w:val="4"/>
        </w:numPr>
        <w:spacing w:after="0" w:line="240" w:lineRule="auto"/>
        <w:rPr>
          <w:rFonts w:eastAsia="Times New Roman"/>
        </w:rPr>
      </w:pPr>
      <w:r>
        <w:rPr>
          <w:rFonts w:eastAsia="Times New Roman"/>
        </w:rPr>
        <w:t>Tejas – based on processed emissions data</w:t>
      </w:r>
    </w:p>
    <w:p w:rsidR="00772A54" w:rsidRDefault="00772A54" w:rsidP="00772A54">
      <w:pPr>
        <w:numPr>
          <w:ilvl w:val="2"/>
          <w:numId w:val="4"/>
        </w:numPr>
        <w:spacing w:after="0" w:line="240" w:lineRule="auto"/>
        <w:rPr>
          <w:rFonts w:eastAsia="Times New Roman"/>
        </w:rPr>
      </w:pPr>
      <w:r>
        <w:rPr>
          <w:rFonts w:eastAsia="Times New Roman"/>
        </w:rPr>
        <w:t xml:space="preserve">Mark </w:t>
      </w:r>
      <w:proofErr w:type="spellStart"/>
      <w:r>
        <w:rPr>
          <w:rFonts w:eastAsia="Times New Roman"/>
        </w:rPr>
        <w:t>Hyoudix</w:t>
      </w:r>
      <w:proofErr w:type="spellEnd"/>
      <w:r>
        <w:rPr>
          <w:rFonts w:eastAsia="Times New Roman"/>
        </w:rPr>
        <w:t>-</w:t>
      </w:r>
    </w:p>
    <w:p w:rsidR="00772A54" w:rsidRDefault="00772A54" w:rsidP="00772A54">
      <w:pPr>
        <w:numPr>
          <w:ilvl w:val="3"/>
          <w:numId w:val="4"/>
        </w:numPr>
        <w:spacing w:after="0" w:line="240" w:lineRule="auto"/>
        <w:rPr>
          <w:rFonts w:eastAsia="Times New Roman"/>
        </w:rPr>
      </w:pPr>
      <w:r>
        <w:rPr>
          <w:rFonts w:eastAsia="Times New Roman"/>
        </w:rPr>
        <w:t>Inventory level not modeling level.</w:t>
      </w:r>
    </w:p>
    <w:p w:rsidR="00772A54" w:rsidRDefault="00772A54" w:rsidP="00772A54">
      <w:pPr>
        <w:numPr>
          <w:ilvl w:val="2"/>
          <w:numId w:val="4"/>
        </w:numPr>
        <w:spacing w:after="0" w:line="240" w:lineRule="auto"/>
        <w:rPr>
          <w:rFonts w:eastAsia="Times New Roman"/>
        </w:rPr>
      </w:pPr>
      <w:r>
        <w:rPr>
          <w:rFonts w:eastAsia="Times New Roman"/>
        </w:rPr>
        <w:t xml:space="preserve">WA, MT, </w:t>
      </w:r>
    </w:p>
    <w:p w:rsidR="00772A54" w:rsidRDefault="00772A54" w:rsidP="00772A54">
      <w:pPr>
        <w:numPr>
          <w:ilvl w:val="3"/>
          <w:numId w:val="4"/>
        </w:numPr>
        <w:spacing w:after="0" w:line="240" w:lineRule="auto"/>
        <w:rPr>
          <w:rFonts w:eastAsia="Times New Roman"/>
        </w:rPr>
      </w:pPr>
      <w:r>
        <w:rPr>
          <w:rFonts w:eastAsia="Times New Roman"/>
        </w:rPr>
        <w:t>Gridded emissions outputs processed and put on the TSS</w:t>
      </w:r>
      <w:r w:rsidR="00A91FFD">
        <w:rPr>
          <w:rFonts w:eastAsia="Times New Roman"/>
        </w:rPr>
        <w:t>.</w:t>
      </w:r>
    </w:p>
    <w:p w:rsidR="00772A54" w:rsidRDefault="00772A54" w:rsidP="00772A54">
      <w:pPr>
        <w:numPr>
          <w:ilvl w:val="3"/>
          <w:numId w:val="4"/>
        </w:numPr>
        <w:spacing w:after="0" w:line="240" w:lineRule="auto"/>
        <w:rPr>
          <w:rFonts w:eastAsia="Times New Roman"/>
        </w:rPr>
      </w:pPr>
      <w:proofErr w:type="spellStart"/>
      <w:r>
        <w:rPr>
          <w:rFonts w:eastAsia="Times New Roman"/>
        </w:rPr>
        <w:t>Wind blown</w:t>
      </w:r>
      <w:proofErr w:type="spellEnd"/>
      <w:r>
        <w:rPr>
          <w:rFonts w:eastAsia="Times New Roman"/>
        </w:rPr>
        <w:t xml:space="preserve"> dust comes from a model.</w:t>
      </w:r>
    </w:p>
    <w:p w:rsidR="00772A54" w:rsidRDefault="00772A54" w:rsidP="00772A54">
      <w:pPr>
        <w:numPr>
          <w:ilvl w:val="2"/>
          <w:numId w:val="4"/>
        </w:numPr>
        <w:spacing w:after="0" w:line="240" w:lineRule="auto"/>
        <w:rPr>
          <w:rFonts w:eastAsia="Times New Roman"/>
        </w:rPr>
      </w:pPr>
      <w:r>
        <w:rPr>
          <w:rFonts w:eastAsia="Times New Roman"/>
        </w:rPr>
        <w:t>We need the inventory summaries (sector based)</w:t>
      </w:r>
    </w:p>
    <w:p w:rsidR="00772A54" w:rsidRDefault="00772A54" w:rsidP="00772A54">
      <w:pPr>
        <w:numPr>
          <w:ilvl w:val="3"/>
          <w:numId w:val="4"/>
        </w:numPr>
        <w:spacing w:after="0" w:line="240" w:lineRule="auto"/>
        <w:rPr>
          <w:rFonts w:eastAsia="Times New Roman"/>
        </w:rPr>
      </w:pPr>
      <w:r>
        <w:rPr>
          <w:rFonts w:eastAsia="Times New Roman"/>
        </w:rPr>
        <w:t>2014 NEI at state level</w:t>
      </w:r>
    </w:p>
    <w:p w:rsidR="00772A54" w:rsidRDefault="00772A54" w:rsidP="00772A54">
      <w:pPr>
        <w:numPr>
          <w:ilvl w:val="3"/>
          <w:numId w:val="4"/>
        </w:numPr>
        <w:spacing w:after="0" w:line="240" w:lineRule="auto"/>
        <w:rPr>
          <w:rFonts w:eastAsia="Times New Roman"/>
        </w:rPr>
      </w:pPr>
      <w:r>
        <w:rPr>
          <w:rFonts w:eastAsia="Times New Roman"/>
        </w:rPr>
        <w:t>Rep base at state level</w:t>
      </w:r>
    </w:p>
    <w:p w:rsidR="00772A54" w:rsidRDefault="00772A54" w:rsidP="00772A54">
      <w:pPr>
        <w:numPr>
          <w:ilvl w:val="3"/>
          <w:numId w:val="4"/>
        </w:numPr>
        <w:spacing w:after="0" w:line="240" w:lineRule="auto"/>
        <w:rPr>
          <w:rFonts w:eastAsia="Times New Roman"/>
        </w:rPr>
      </w:pPr>
      <w:r>
        <w:rPr>
          <w:rFonts w:eastAsia="Times New Roman"/>
        </w:rPr>
        <w:t>2017 NEI</w:t>
      </w:r>
    </w:p>
    <w:p w:rsidR="009C0EED" w:rsidRPr="00772A54" w:rsidRDefault="00772A54" w:rsidP="00772A54">
      <w:pPr>
        <w:numPr>
          <w:ilvl w:val="3"/>
          <w:numId w:val="4"/>
        </w:numPr>
        <w:spacing w:after="0" w:line="240" w:lineRule="auto"/>
        <w:rPr>
          <w:rFonts w:eastAsia="Times New Roman"/>
        </w:rPr>
      </w:pPr>
      <w:r>
        <w:rPr>
          <w:rFonts w:eastAsia="Times New Roman"/>
        </w:rPr>
        <w:t>2028 OTB</w:t>
      </w:r>
    </w:p>
    <w:p w:rsidR="009C0EED" w:rsidRDefault="009C0EED" w:rsidP="009C0EED">
      <w:pPr>
        <w:spacing w:after="0" w:line="240" w:lineRule="auto"/>
        <w:ind w:left="360"/>
        <w:rPr>
          <w:rFonts w:eastAsia="Times New Roman"/>
        </w:rPr>
      </w:pPr>
    </w:p>
    <w:p w:rsidR="009C0EED" w:rsidRPr="009C0EED" w:rsidRDefault="009C0EED" w:rsidP="009C0EED">
      <w:pPr>
        <w:numPr>
          <w:ilvl w:val="0"/>
          <w:numId w:val="4"/>
        </w:numPr>
        <w:spacing w:after="0" w:line="240" w:lineRule="auto"/>
        <w:rPr>
          <w:rFonts w:eastAsia="Times New Roman"/>
        </w:rPr>
      </w:pPr>
      <w:r>
        <w:rPr>
          <w:rFonts w:eastAsia="Times New Roman"/>
        </w:rPr>
        <w:t>Potential Additional Controls V2 roundtable – August 7</w:t>
      </w:r>
      <w:r>
        <w:rPr>
          <w:rFonts w:eastAsia="Times New Roman"/>
          <w:vertAlign w:val="superscript"/>
        </w:rPr>
        <w:t>th</w:t>
      </w:r>
      <w:r>
        <w:rPr>
          <w:rFonts w:eastAsia="Times New Roman"/>
        </w:rPr>
        <w:t xml:space="preserve"> deadline reminder and discussion</w:t>
      </w:r>
    </w:p>
    <w:p w:rsidR="009C0EED" w:rsidRDefault="009C0EED" w:rsidP="009C0EED">
      <w:pPr>
        <w:numPr>
          <w:ilvl w:val="1"/>
          <w:numId w:val="4"/>
        </w:numPr>
        <w:spacing w:after="0" w:line="240" w:lineRule="auto"/>
        <w:rPr>
          <w:rFonts w:eastAsia="Times New Roman"/>
        </w:rPr>
      </w:pPr>
      <w:r>
        <w:rPr>
          <w:rFonts w:eastAsia="Times New Roman"/>
        </w:rPr>
        <w:t>Deadline has been moved to September 10, 2020.</w:t>
      </w:r>
    </w:p>
    <w:p w:rsidR="00772A54" w:rsidRPr="00772A54" w:rsidRDefault="00772A54" w:rsidP="00772A54">
      <w:pPr>
        <w:numPr>
          <w:ilvl w:val="1"/>
          <w:numId w:val="4"/>
        </w:numPr>
        <w:spacing w:after="0" w:line="240" w:lineRule="auto"/>
        <w:rPr>
          <w:rFonts w:eastAsia="Times New Roman"/>
        </w:rPr>
      </w:pPr>
      <w:r>
        <w:rPr>
          <w:rFonts w:eastAsia="Times New Roman"/>
        </w:rPr>
        <w:t xml:space="preserve">WA – </w:t>
      </w:r>
      <w:r w:rsidRPr="00772A54">
        <w:rPr>
          <w:rFonts w:eastAsia="Times New Roman"/>
        </w:rPr>
        <w:t>Washington might remove some</w:t>
      </w:r>
      <w:r>
        <w:rPr>
          <w:rFonts w:eastAsia="Times New Roman"/>
        </w:rPr>
        <w:t xml:space="preserve"> PAC.</w:t>
      </w:r>
    </w:p>
    <w:p w:rsidR="00772A54" w:rsidRDefault="00772A54" w:rsidP="00772A54">
      <w:pPr>
        <w:numPr>
          <w:ilvl w:val="1"/>
          <w:numId w:val="4"/>
        </w:numPr>
        <w:spacing w:after="0" w:line="240" w:lineRule="auto"/>
        <w:rPr>
          <w:rFonts w:eastAsia="Times New Roman"/>
        </w:rPr>
      </w:pPr>
      <w:r>
        <w:rPr>
          <w:rFonts w:eastAsia="Times New Roman"/>
        </w:rPr>
        <w:t>ND – adding some new sources</w:t>
      </w:r>
    </w:p>
    <w:p w:rsidR="00772A54" w:rsidRDefault="00772A54" w:rsidP="00772A54">
      <w:pPr>
        <w:numPr>
          <w:ilvl w:val="1"/>
          <w:numId w:val="4"/>
        </w:numPr>
        <w:spacing w:after="0" w:line="240" w:lineRule="auto"/>
        <w:rPr>
          <w:rFonts w:eastAsia="Times New Roman"/>
        </w:rPr>
      </w:pPr>
      <w:r>
        <w:rPr>
          <w:rFonts w:eastAsia="Times New Roman"/>
        </w:rPr>
        <w:t>New states may be adding.</w:t>
      </w:r>
    </w:p>
    <w:p w:rsidR="00772A54" w:rsidRDefault="00772A54" w:rsidP="00772A54">
      <w:pPr>
        <w:numPr>
          <w:ilvl w:val="1"/>
          <w:numId w:val="4"/>
        </w:numPr>
        <w:spacing w:after="0" w:line="240" w:lineRule="auto"/>
        <w:rPr>
          <w:rFonts w:eastAsia="Times New Roman"/>
        </w:rPr>
      </w:pPr>
      <w:r>
        <w:rPr>
          <w:rFonts w:eastAsia="Times New Roman"/>
        </w:rPr>
        <w:t xml:space="preserve">AZ – PAC 1 -&gt;PAC 2. And checking with sources </w:t>
      </w:r>
    </w:p>
    <w:p w:rsidR="00772A54" w:rsidRPr="00772A54" w:rsidRDefault="00772A54" w:rsidP="00772A54">
      <w:pPr>
        <w:numPr>
          <w:ilvl w:val="1"/>
          <w:numId w:val="4"/>
        </w:numPr>
        <w:spacing w:after="0" w:line="240" w:lineRule="auto"/>
        <w:rPr>
          <w:rFonts w:eastAsia="Times New Roman"/>
        </w:rPr>
      </w:pPr>
      <w:r>
        <w:rPr>
          <w:rFonts w:eastAsia="Times New Roman"/>
        </w:rPr>
        <w:t xml:space="preserve">MT – </w:t>
      </w:r>
      <w:r w:rsidRPr="00772A54">
        <w:rPr>
          <w:rFonts w:eastAsia="Times New Roman"/>
        </w:rPr>
        <w:t>considering submitting for PAC#2.</w:t>
      </w:r>
    </w:p>
    <w:p w:rsidR="00772A54" w:rsidRPr="00772A54" w:rsidRDefault="00772A54" w:rsidP="00772A54">
      <w:pPr>
        <w:numPr>
          <w:ilvl w:val="1"/>
          <w:numId w:val="4"/>
        </w:numPr>
        <w:spacing w:after="0" w:line="240" w:lineRule="auto"/>
        <w:rPr>
          <w:rFonts w:eastAsia="Times New Roman"/>
        </w:rPr>
      </w:pPr>
      <w:r>
        <w:rPr>
          <w:rFonts w:eastAsia="Times New Roman"/>
        </w:rPr>
        <w:t xml:space="preserve">UT – </w:t>
      </w:r>
      <w:r w:rsidRPr="00772A54">
        <w:rPr>
          <w:rFonts w:eastAsia="Times New Roman"/>
        </w:rPr>
        <w:t>submitting – hard to tell what but it will be based on the 4-factor analysis.</w:t>
      </w:r>
    </w:p>
    <w:p w:rsidR="00772A54" w:rsidRDefault="00772A54" w:rsidP="00772A54">
      <w:pPr>
        <w:numPr>
          <w:ilvl w:val="1"/>
          <w:numId w:val="4"/>
        </w:numPr>
        <w:spacing w:after="0" w:line="240" w:lineRule="auto"/>
        <w:rPr>
          <w:rFonts w:eastAsia="Times New Roman"/>
        </w:rPr>
      </w:pPr>
      <w:r>
        <w:rPr>
          <w:rFonts w:eastAsia="Times New Roman"/>
        </w:rPr>
        <w:t>ID – still working through 4-factor analysis.  May not have a lot of changes – perhaps a more conservative run.</w:t>
      </w:r>
    </w:p>
    <w:p w:rsidR="00772A54" w:rsidRDefault="00772A54" w:rsidP="00772A54">
      <w:pPr>
        <w:numPr>
          <w:ilvl w:val="1"/>
          <w:numId w:val="4"/>
        </w:numPr>
        <w:spacing w:after="0" w:line="240" w:lineRule="auto"/>
        <w:rPr>
          <w:rFonts w:eastAsia="Times New Roman"/>
        </w:rPr>
      </w:pPr>
      <w:r>
        <w:rPr>
          <w:rFonts w:eastAsia="Times New Roman"/>
        </w:rPr>
        <w:t>NM – will submit info for PAC#2.  Hard to tell what info we will be submitting yet.</w:t>
      </w:r>
    </w:p>
    <w:p w:rsidR="009C0EED" w:rsidRDefault="009C0EED" w:rsidP="009C0EED">
      <w:pPr>
        <w:spacing w:after="0" w:line="240" w:lineRule="auto"/>
        <w:ind w:left="360"/>
        <w:rPr>
          <w:rFonts w:eastAsia="Times New Roman"/>
        </w:rPr>
      </w:pPr>
    </w:p>
    <w:p w:rsidR="009C0EED" w:rsidRDefault="009C0EED" w:rsidP="009C0EED">
      <w:pPr>
        <w:numPr>
          <w:ilvl w:val="0"/>
          <w:numId w:val="4"/>
        </w:numPr>
        <w:spacing w:after="0" w:line="240" w:lineRule="auto"/>
        <w:rPr>
          <w:rFonts w:eastAsia="Times New Roman"/>
        </w:rPr>
      </w:pPr>
      <w:r>
        <w:rPr>
          <w:rFonts w:eastAsia="Times New Roman"/>
        </w:rPr>
        <w:t xml:space="preserve">Schedule next call (Colorado </w:t>
      </w:r>
      <w:proofErr w:type="spellStart"/>
      <w:r>
        <w:rPr>
          <w:rFonts w:eastAsia="Times New Roman"/>
        </w:rPr>
        <w:t>notetaker</w:t>
      </w:r>
      <w:proofErr w:type="spellEnd"/>
      <w:r>
        <w:rPr>
          <w:rFonts w:eastAsia="Times New Roman"/>
        </w:rPr>
        <w:t>) – for Thursday July 30, at 11 am.</w:t>
      </w:r>
    </w:p>
    <w:p w:rsidR="009C0EED" w:rsidRPr="009C0EED" w:rsidRDefault="009C0EED" w:rsidP="009C0EED">
      <w:pPr>
        <w:spacing w:after="0" w:line="240" w:lineRule="auto"/>
        <w:ind w:left="360"/>
        <w:rPr>
          <w:rFonts w:eastAsia="Times New Roman"/>
        </w:rPr>
      </w:pPr>
    </w:p>
    <w:p w:rsidR="009C0EED" w:rsidRDefault="009C0EED" w:rsidP="009C0EED">
      <w:pPr>
        <w:numPr>
          <w:ilvl w:val="0"/>
          <w:numId w:val="4"/>
        </w:numPr>
      </w:pPr>
      <w:r>
        <w:t>Materials</w:t>
      </w:r>
    </w:p>
    <w:p w:rsidR="009C0EED" w:rsidRDefault="009C0EED" w:rsidP="009C0EED">
      <w:pPr>
        <w:numPr>
          <w:ilvl w:val="1"/>
          <w:numId w:val="4"/>
        </w:numPr>
      </w:pPr>
      <w:r>
        <w:t>Summaries by model sector:</w:t>
      </w:r>
    </w:p>
    <w:p w:rsidR="009C0EED" w:rsidRDefault="009C0EED" w:rsidP="009C0EED">
      <w:pPr>
        <w:numPr>
          <w:ilvl w:val="2"/>
          <w:numId w:val="4"/>
        </w:numPr>
      </w:pPr>
      <w:hyperlink r:id="rId6" w:history="1">
        <w:r>
          <w:rPr>
            <w:rStyle w:val="Hyperlink"/>
          </w:rPr>
          <w:t>2014 NEIv2 County Annual Summary</w:t>
        </w:r>
      </w:hyperlink>
      <w:r>
        <w:t xml:space="preserve"> - EPA generated </w:t>
      </w:r>
    </w:p>
    <w:p w:rsidR="009C0EED" w:rsidRDefault="009C0EED" w:rsidP="009C0EED">
      <w:pPr>
        <w:numPr>
          <w:ilvl w:val="2"/>
          <w:numId w:val="4"/>
        </w:numPr>
      </w:pPr>
      <w:hyperlink r:id="rId7" w:history="1">
        <w:r>
          <w:rPr>
            <w:rStyle w:val="Hyperlink"/>
          </w:rPr>
          <w:t>2014 NEIv2 State Annual Summary</w:t>
        </w:r>
      </w:hyperlink>
      <w:r>
        <w:t xml:space="preserve"> - EPA generated</w:t>
      </w:r>
    </w:p>
    <w:p w:rsidR="009C0EED" w:rsidRPr="009C0EED" w:rsidRDefault="009C0EED" w:rsidP="009C0EED">
      <w:pPr>
        <w:numPr>
          <w:ilvl w:val="2"/>
          <w:numId w:val="4"/>
        </w:numPr>
      </w:pPr>
      <w:hyperlink r:id="rId8" w:history="1">
        <w:r>
          <w:rPr>
            <w:rStyle w:val="Hyperlink"/>
          </w:rPr>
          <w:t>2017 NEI Annual Summary</w:t>
        </w:r>
      </w:hyperlink>
      <w:r>
        <w:t xml:space="preserve"> - WRAP generated</w:t>
      </w:r>
    </w:p>
    <w:p w:rsidR="00772A54" w:rsidRDefault="00772A54" w:rsidP="009C0EED">
      <w:pPr>
        <w:rPr>
          <w:rFonts w:eastAsia="Times New Roman"/>
        </w:rPr>
      </w:pPr>
    </w:p>
    <w:p w:rsidR="009C0EED" w:rsidRPr="00315927" w:rsidRDefault="009C0EED" w:rsidP="009C0EED">
      <w:pPr>
        <w:rPr>
          <w:rFonts w:eastAsia="Times New Roman"/>
        </w:rPr>
      </w:pPr>
      <w:r w:rsidRPr="00315927">
        <w:rPr>
          <w:rFonts w:eastAsia="Times New Roman"/>
        </w:rPr>
        <w:t>Upcoming Notes Schedule:</w:t>
      </w:r>
    </w:p>
    <w:tbl>
      <w:tblPr>
        <w:tblW w:w="2500" w:type="dxa"/>
        <w:tblCellMar>
          <w:left w:w="0" w:type="dxa"/>
          <w:right w:w="0" w:type="dxa"/>
        </w:tblCellMar>
        <w:tblLook w:val="04A0" w:firstRow="1" w:lastRow="0" w:firstColumn="1" w:lastColumn="0" w:noHBand="0" w:noVBand="1"/>
      </w:tblPr>
      <w:tblGrid>
        <w:gridCol w:w="960"/>
        <w:gridCol w:w="1540"/>
      </w:tblGrid>
      <w:tr w:rsidR="009C0EED" w:rsidRPr="00315927" w:rsidTr="00B90D8D">
        <w:trPr>
          <w:trHeight w:val="300"/>
        </w:trPr>
        <w:tc>
          <w:tcPr>
            <w:tcW w:w="960" w:type="dxa"/>
            <w:noWrap/>
            <w:tcMar>
              <w:top w:w="0" w:type="dxa"/>
              <w:left w:w="108" w:type="dxa"/>
              <w:bottom w:w="0" w:type="dxa"/>
              <w:right w:w="108" w:type="dxa"/>
            </w:tcMar>
            <w:vAlign w:val="center"/>
            <w:hideMark/>
          </w:tcPr>
          <w:p w:rsidR="009C0EED" w:rsidRPr="00315927" w:rsidRDefault="009C0EED" w:rsidP="00B90D8D">
            <w:pPr>
              <w:rPr>
                <w:rFonts w:eastAsia="Times New Roman"/>
                <w:color w:val="000000"/>
              </w:rPr>
            </w:pPr>
            <w:r w:rsidRPr="00315927">
              <w:rPr>
                <w:rFonts w:eastAsia="Times New Roman"/>
                <w:color w:val="000000"/>
              </w:rPr>
              <w:t>July</w:t>
            </w:r>
          </w:p>
        </w:tc>
        <w:tc>
          <w:tcPr>
            <w:tcW w:w="1540" w:type="dxa"/>
            <w:noWrap/>
            <w:tcMar>
              <w:top w:w="0" w:type="dxa"/>
              <w:left w:w="108" w:type="dxa"/>
              <w:bottom w:w="0" w:type="dxa"/>
              <w:right w:w="108" w:type="dxa"/>
            </w:tcMar>
            <w:vAlign w:val="center"/>
            <w:hideMark/>
          </w:tcPr>
          <w:p w:rsidR="009C0EED" w:rsidRPr="00315927" w:rsidRDefault="009C0EED" w:rsidP="00B90D8D">
            <w:pPr>
              <w:rPr>
                <w:rFonts w:eastAsia="Times New Roman"/>
                <w:color w:val="000000"/>
              </w:rPr>
            </w:pPr>
            <w:r w:rsidRPr="00315927">
              <w:rPr>
                <w:rFonts w:eastAsia="Times New Roman"/>
                <w:color w:val="000000"/>
              </w:rPr>
              <w:t>Colorado</w:t>
            </w:r>
          </w:p>
        </w:tc>
      </w:tr>
      <w:tr w:rsidR="009C0EED" w:rsidRPr="00315927" w:rsidTr="00B90D8D">
        <w:trPr>
          <w:trHeight w:val="300"/>
        </w:trPr>
        <w:tc>
          <w:tcPr>
            <w:tcW w:w="960" w:type="dxa"/>
            <w:noWrap/>
            <w:tcMar>
              <w:top w:w="0" w:type="dxa"/>
              <w:left w:w="108" w:type="dxa"/>
              <w:bottom w:w="0" w:type="dxa"/>
              <w:right w:w="108" w:type="dxa"/>
            </w:tcMar>
            <w:vAlign w:val="center"/>
            <w:hideMark/>
          </w:tcPr>
          <w:p w:rsidR="009C0EED" w:rsidRPr="00315927" w:rsidRDefault="009C0EED" w:rsidP="00B90D8D">
            <w:pPr>
              <w:rPr>
                <w:rFonts w:eastAsia="Times New Roman"/>
                <w:color w:val="000000"/>
              </w:rPr>
            </w:pPr>
            <w:r w:rsidRPr="00315927">
              <w:rPr>
                <w:rFonts w:eastAsia="Times New Roman"/>
                <w:color w:val="000000"/>
              </w:rPr>
              <w:t>Aug</w:t>
            </w:r>
          </w:p>
        </w:tc>
        <w:tc>
          <w:tcPr>
            <w:tcW w:w="1540" w:type="dxa"/>
            <w:noWrap/>
            <w:tcMar>
              <w:top w:w="0" w:type="dxa"/>
              <w:left w:w="108" w:type="dxa"/>
              <w:bottom w:w="0" w:type="dxa"/>
              <w:right w:w="108" w:type="dxa"/>
            </w:tcMar>
            <w:vAlign w:val="center"/>
            <w:hideMark/>
          </w:tcPr>
          <w:p w:rsidR="009C0EED" w:rsidRPr="00315927" w:rsidRDefault="009C0EED" w:rsidP="00B90D8D">
            <w:pPr>
              <w:rPr>
                <w:rFonts w:eastAsia="Times New Roman"/>
                <w:color w:val="000000"/>
              </w:rPr>
            </w:pPr>
            <w:r w:rsidRPr="00315927">
              <w:rPr>
                <w:rFonts w:eastAsia="Times New Roman"/>
                <w:color w:val="000000"/>
              </w:rPr>
              <w:t>North Dakota</w:t>
            </w:r>
          </w:p>
        </w:tc>
      </w:tr>
      <w:tr w:rsidR="009C0EED" w:rsidRPr="00315927" w:rsidTr="00B90D8D">
        <w:trPr>
          <w:trHeight w:val="300"/>
        </w:trPr>
        <w:tc>
          <w:tcPr>
            <w:tcW w:w="960" w:type="dxa"/>
            <w:noWrap/>
            <w:tcMar>
              <w:top w:w="0" w:type="dxa"/>
              <w:left w:w="108" w:type="dxa"/>
              <w:bottom w:w="0" w:type="dxa"/>
              <w:right w:w="108" w:type="dxa"/>
            </w:tcMar>
            <w:vAlign w:val="center"/>
            <w:hideMark/>
          </w:tcPr>
          <w:p w:rsidR="009C0EED" w:rsidRPr="00315927" w:rsidRDefault="009C0EED" w:rsidP="00B90D8D">
            <w:pPr>
              <w:rPr>
                <w:rFonts w:eastAsia="Times New Roman"/>
                <w:color w:val="000000"/>
              </w:rPr>
            </w:pPr>
            <w:r w:rsidRPr="00315927">
              <w:rPr>
                <w:rFonts w:eastAsia="Times New Roman"/>
                <w:color w:val="000000"/>
              </w:rPr>
              <w:t>Sept</w:t>
            </w:r>
          </w:p>
        </w:tc>
        <w:tc>
          <w:tcPr>
            <w:tcW w:w="1540" w:type="dxa"/>
            <w:noWrap/>
            <w:tcMar>
              <w:top w:w="0" w:type="dxa"/>
              <w:left w:w="108" w:type="dxa"/>
              <w:bottom w:w="0" w:type="dxa"/>
              <w:right w:w="108" w:type="dxa"/>
            </w:tcMar>
            <w:vAlign w:val="center"/>
            <w:hideMark/>
          </w:tcPr>
          <w:p w:rsidR="009C0EED" w:rsidRPr="00315927" w:rsidRDefault="009C0EED" w:rsidP="00B90D8D">
            <w:pPr>
              <w:rPr>
                <w:rFonts w:eastAsia="Times New Roman"/>
                <w:color w:val="000000"/>
              </w:rPr>
            </w:pPr>
            <w:r w:rsidRPr="00315927">
              <w:rPr>
                <w:rFonts w:eastAsia="Times New Roman"/>
                <w:color w:val="000000"/>
              </w:rPr>
              <w:t>Arizona</w:t>
            </w:r>
          </w:p>
        </w:tc>
      </w:tr>
      <w:tr w:rsidR="009C0EED" w:rsidRPr="00315927" w:rsidTr="00B90D8D">
        <w:trPr>
          <w:trHeight w:val="300"/>
        </w:trPr>
        <w:tc>
          <w:tcPr>
            <w:tcW w:w="960" w:type="dxa"/>
            <w:noWrap/>
            <w:tcMar>
              <w:top w:w="0" w:type="dxa"/>
              <w:left w:w="108" w:type="dxa"/>
              <w:bottom w:w="0" w:type="dxa"/>
              <w:right w:w="108" w:type="dxa"/>
            </w:tcMar>
            <w:vAlign w:val="center"/>
            <w:hideMark/>
          </w:tcPr>
          <w:p w:rsidR="009C0EED" w:rsidRPr="00315927" w:rsidRDefault="009C0EED" w:rsidP="00B90D8D">
            <w:pPr>
              <w:rPr>
                <w:rFonts w:eastAsia="Times New Roman"/>
                <w:color w:val="000000"/>
              </w:rPr>
            </w:pPr>
            <w:r w:rsidRPr="00315927">
              <w:rPr>
                <w:rFonts w:eastAsia="Times New Roman"/>
                <w:color w:val="000000"/>
              </w:rPr>
              <w:t>Oct</w:t>
            </w:r>
          </w:p>
        </w:tc>
        <w:tc>
          <w:tcPr>
            <w:tcW w:w="1540" w:type="dxa"/>
            <w:noWrap/>
            <w:tcMar>
              <w:top w:w="0" w:type="dxa"/>
              <w:left w:w="108" w:type="dxa"/>
              <w:bottom w:w="0" w:type="dxa"/>
              <w:right w:w="108" w:type="dxa"/>
            </w:tcMar>
            <w:vAlign w:val="center"/>
            <w:hideMark/>
          </w:tcPr>
          <w:p w:rsidR="009C0EED" w:rsidRPr="00315927" w:rsidRDefault="009C0EED" w:rsidP="00B90D8D">
            <w:pPr>
              <w:rPr>
                <w:rFonts w:eastAsia="Times New Roman"/>
                <w:color w:val="000000"/>
              </w:rPr>
            </w:pPr>
            <w:r w:rsidRPr="00315927">
              <w:rPr>
                <w:rFonts w:eastAsia="Times New Roman"/>
                <w:color w:val="000000"/>
              </w:rPr>
              <w:t>Washington</w:t>
            </w:r>
          </w:p>
        </w:tc>
      </w:tr>
    </w:tbl>
    <w:p w:rsidR="00BF1D1A" w:rsidRPr="004D4C84" w:rsidRDefault="00BF1D1A" w:rsidP="00772A54">
      <w:pPr>
        <w:spacing w:after="0" w:line="240" w:lineRule="auto"/>
        <w:ind w:left="-720"/>
        <w:rPr>
          <w:rFonts w:eastAsia="Times New Roman"/>
          <w:b/>
          <w:bCs/>
        </w:rPr>
      </w:pPr>
    </w:p>
    <w:sectPr w:rsidR="00BF1D1A" w:rsidRPr="004D4C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3F06"/>
    <w:multiLevelType w:val="hybridMultilevel"/>
    <w:tmpl w:val="1C02FBF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0EC7E14"/>
    <w:multiLevelType w:val="hybridMultilevel"/>
    <w:tmpl w:val="EB88476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78360F11"/>
    <w:multiLevelType w:val="hybridMultilevel"/>
    <w:tmpl w:val="3DCE6218"/>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15:restartNumberingAfterBreak="0">
    <w:nsid w:val="7FDE3A45"/>
    <w:multiLevelType w:val="hybridMultilevel"/>
    <w:tmpl w:val="EB88476C"/>
    <w:lvl w:ilvl="0" w:tplc="0409000F">
      <w:start w:val="1"/>
      <w:numFmt w:val="decimal"/>
      <w:lvlText w:val="%1."/>
      <w:lvlJc w:val="left"/>
      <w:pPr>
        <w:ind w:left="-720" w:hanging="360"/>
      </w:pPr>
      <w:rPr>
        <w:rFonts w:cs="Times New Roman"/>
      </w:rPr>
    </w:lvl>
    <w:lvl w:ilvl="1" w:tplc="04090019">
      <w:start w:val="1"/>
      <w:numFmt w:val="lowerLetter"/>
      <w:lvlText w:val="%2."/>
      <w:lvlJc w:val="left"/>
      <w:pPr>
        <w:ind w:hanging="360"/>
      </w:pPr>
      <w:rPr>
        <w:rFonts w:cs="Times New Roman"/>
      </w:rPr>
    </w:lvl>
    <w:lvl w:ilvl="2" w:tplc="0409001B">
      <w:start w:val="1"/>
      <w:numFmt w:val="lowerRoman"/>
      <w:lvlText w:val="%3."/>
      <w:lvlJc w:val="right"/>
      <w:pPr>
        <w:ind w:left="720" w:hanging="180"/>
      </w:pPr>
      <w:rPr>
        <w:rFonts w:cs="Times New Roman"/>
      </w:rPr>
    </w:lvl>
    <w:lvl w:ilvl="3" w:tplc="0409000F">
      <w:start w:val="1"/>
      <w:numFmt w:val="decimal"/>
      <w:lvlText w:val="%4."/>
      <w:lvlJc w:val="left"/>
      <w:pPr>
        <w:ind w:left="1440" w:hanging="360"/>
      </w:pPr>
      <w:rPr>
        <w:rFonts w:cs="Times New Roman"/>
      </w:rPr>
    </w:lvl>
    <w:lvl w:ilvl="4" w:tplc="04090019">
      <w:start w:val="1"/>
      <w:numFmt w:val="lowerLetter"/>
      <w:lvlText w:val="%5."/>
      <w:lvlJc w:val="left"/>
      <w:pPr>
        <w:ind w:left="2160" w:hanging="360"/>
      </w:pPr>
      <w:rPr>
        <w:rFonts w:cs="Times New Roman"/>
      </w:rPr>
    </w:lvl>
    <w:lvl w:ilvl="5" w:tplc="0409001B">
      <w:start w:val="1"/>
      <w:numFmt w:val="lowerRoman"/>
      <w:lvlText w:val="%6."/>
      <w:lvlJc w:val="right"/>
      <w:pPr>
        <w:ind w:left="2880" w:hanging="180"/>
      </w:pPr>
      <w:rPr>
        <w:rFonts w:cs="Times New Roman"/>
      </w:rPr>
    </w:lvl>
    <w:lvl w:ilvl="6" w:tplc="0409000F">
      <w:start w:val="1"/>
      <w:numFmt w:val="decimal"/>
      <w:lvlText w:val="%7."/>
      <w:lvlJc w:val="left"/>
      <w:pPr>
        <w:ind w:left="3600" w:hanging="360"/>
      </w:pPr>
      <w:rPr>
        <w:rFonts w:cs="Times New Roman"/>
      </w:rPr>
    </w:lvl>
    <w:lvl w:ilvl="7" w:tplc="04090019">
      <w:start w:val="1"/>
      <w:numFmt w:val="lowerLetter"/>
      <w:lvlText w:val="%8."/>
      <w:lvlJc w:val="left"/>
      <w:pPr>
        <w:ind w:left="4320" w:hanging="360"/>
      </w:pPr>
      <w:rPr>
        <w:rFonts w:cs="Times New Roman"/>
      </w:rPr>
    </w:lvl>
    <w:lvl w:ilvl="8" w:tplc="0409001B">
      <w:start w:val="1"/>
      <w:numFmt w:val="lowerRoman"/>
      <w:lvlText w:val="%9."/>
      <w:lvlJc w:val="right"/>
      <w:pPr>
        <w:ind w:left="504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97"/>
    <w:rsid w:val="000E01FD"/>
    <w:rsid w:val="00181734"/>
    <w:rsid w:val="00196E56"/>
    <w:rsid w:val="00315927"/>
    <w:rsid w:val="00365901"/>
    <w:rsid w:val="004D4C84"/>
    <w:rsid w:val="00516407"/>
    <w:rsid w:val="005B71DD"/>
    <w:rsid w:val="005C66FF"/>
    <w:rsid w:val="00701657"/>
    <w:rsid w:val="007047F4"/>
    <w:rsid w:val="00772A54"/>
    <w:rsid w:val="009C0EED"/>
    <w:rsid w:val="00A678AE"/>
    <w:rsid w:val="00A91FFD"/>
    <w:rsid w:val="00B23E3C"/>
    <w:rsid w:val="00B90D8D"/>
    <w:rsid w:val="00B97231"/>
    <w:rsid w:val="00BF1D1A"/>
    <w:rsid w:val="00DD2FBA"/>
    <w:rsid w:val="00DE79DE"/>
    <w:rsid w:val="00E10E28"/>
    <w:rsid w:val="00E832C5"/>
    <w:rsid w:val="00ED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1BC3D"/>
  <w14:defaultImageDpi w14:val="0"/>
  <w15:docId w15:val="{7A3C7068-B9DA-41AD-AC38-A01664ED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231"/>
    <w:rPr>
      <w:rFonts w:cs="Times New Roman"/>
      <w:color w:val="0563C1"/>
      <w:u w:val="single"/>
    </w:rPr>
  </w:style>
  <w:style w:type="character" w:styleId="FollowedHyperlink">
    <w:name w:val="FollowedHyperlink"/>
    <w:basedOn w:val="DefaultParagraphFont"/>
    <w:uiPriority w:val="99"/>
    <w:semiHidden/>
    <w:unhideWhenUsed/>
    <w:rsid w:val="00B97231"/>
    <w:rPr>
      <w:rFonts w:cs="Times New Roman"/>
      <w:color w:val="954F72" w:themeColor="followedHyperlink"/>
      <w:u w:val="single"/>
    </w:rPr>
  </w:style>
  <w:style w:type="paragraph" w:styleId="ListParagraph">
    <w:name w:val="List Paragraph"/>
    <w:basedOn w:val="Normal"/>
    <w:uiPriority w:val="34"/>
    <w:qFormat/>
    <w:rsid w:val="009C0E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4144">
      <w:marLeft w:val="0"/>
      <w:marRight w:val="0"/>
      <w:marTop w:val="0"/>
      <w:marBottom w:val="0"/>
      <w:divBdr>
        <w:top w:val="none" w:sz="0" w:space="0" w:color="auto"/>
        <w:left w:val="none" w:sz="0" w:space="0" w:color="auto"/>
        <w:bottom w:val="none" w:sz="0" w:space="0" w:color="auto"/>
        <w:right w:val="none" w:sz="0" w:space="0" w:color="auto"/>
      </w:divBdr>
    </w:div>
    <w:div w:id="63914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5bn9CW6lJgTyJpLZCnbWii?domain=views.cira.colostate.edu" TargetMode="External"/><Relationship Id="rId3" Type="http://schemas.openxmlformats.org/officeDocument/2006/relationships/settings" Target="settings.xml"/><Relationship Id="rId7" Type="http://schemas.openxmlformats.org/officeDocument/2006/relationships/hyperlink" Target="https://protect-us.mimecast.com/s/Qqt8CVOkG8HPG4nmiyjxwU?domain=newftp.e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2auiCR60A4Tg2KDofNbxFo?domain=newftp.epa.gov" TargetMode="External"/><Relationship Id="rId5" Type="http://schemas.openxmlformats.org/officeDocument/2006/relationships/hyperlink" Target="https://protect-us.mimecast.com/s/1wd3CQW2z3iN0D1gfxBaWQ?domain=ep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Herron-Thorpe, Farren (ECY)</cp:lastModifiedBy>
  <cp:revision>2</cp:revision>
  <dcterms:created xsi:type="dcterms:W3CDTF">2020-07-29T17:22:00Z</dcterms:created>
  <dcterms:modified xsi:type="dcterms:W3CDTF">2020-07-29T17:22:00Z</dcterms:modified>
</cp:coreProperties>
</file>